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75F1" w14:textId="7088E138" w:rsidR="00232A85" w:rsidRDefault="00005007">
      <w:pPr>
        <w:pStyle w:val="Body"/>
        <w:rPr>
          <w:rFonts w:ascii="Arial" w:hAnsi="Arial" w:cs="Arial"/>
          <w:noProof/>
          <w:sz w:val="20"/>
          <w:szCs w:val="20"/>
        </w:rPr>
      </w:pPr>
      <w:r w:rsidRPr="001776BF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BB11EBC" wp14:editId="612777D4">
            <wp:simplePos x="0" y="0"/>
            <wp:positionH relativeFrom="column">
              <wp:posOffset>133350</wp:posOffset>
            </wp:positionH>
            <wp:positionV relativeFrom="paragraph">
              <wp:posOffset>-378730</wp:posOffset>
            </wp:positionV>
            <wp:extent cx="6419850" cy="155094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letter_he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55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6A73" w14:textId="03C325AC" w:rsidR="00232A85" w:rsidRDefault="00232A85">
      <w:pPr>
        <w:pStyle w:val="Body"/>
        <w:rPr>
          <w:rFonts w:ascii="Arial" w:hAnsi="Arial" w:cs="Arial"/>
          <w:noProof/>
          <w:sz w:val="20"/>
          <w:szCs w:val="20"/>
        </w:rPr>
      </w:pPr>
    </w:p>
    <w:p w14:paraId="2156BE0F" w14:textId="77777777" w:rsidR="00232A85" w:rsidRDefault="00232A85">
      <w:pPr>
        <w:pStyle w:val="Body"/>
        <w:rPr>
          <w:rFonts w:ascii="Arial" w:hAnsi="Arial" w:cs="Arial"/>
          <w:noProof/>
          <w:sz w:val="20"/>
          <w:szCs w:val="20"/>
        </w:rPr>
      </w:pPr>
    </w:p>
    <w:p w14:paraId="17C5F7BB" w14:textId="77777777" w:rsidR="00382D5A" w:rsidRPr="00232A85" w:rsidRDefault="00F25C9A">
      <w:pPr>
        <w:pStyle w:val="Body"/>
        <w:rPr>
          <w:rFonts w:ascii="Arial" w:hAnsi="Arial" w:cs="Arial"/>
          <w:sz w:val="20"/>
          <w:szCs w:val="20"/>
        </w:rPr>
      </w:pP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</w:p>
    <w:p w14:paraId="01D5BF0A" w14:textId="77777777" w:rsidR="00D4025E" w:rsidRPr="003B1476" w:rsidRDefault="00D4025E">
      <w:pPr>
        <w:pStyle w:val="Body"/>
        <w:rPr>
          <w:rFonts w:ascii="Arial" w:hAnsi="Arial" w:cs="Arial"/>
          <w:sz w:val="8"/>
          <w:szCs w:val="20"/>
        </w:rPr>
      </w:pPr>
    </w:p>
    <w:p w14:paraId="61E54EAA" w14:textId="65116FE7" w:rsidR="00106F08" w:rsidRPr="003B1476" w:rsidRDefault="00106F08" w:rsidP="00EB5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="Calibri" w:eastAsia="Calibri" w:hAnsi="Calibri"/>
          <w:b/>
          <w:bCs/>
          <w:spacing w:val="-2"/>
          <w:szCs w:val="22"/>
          <w:bdr w:val="none" w:sz="0" w:space="0" w:color="auto"/>
          <w:lang w:val="en-AU"/>
        </w:rPr>
      </w:pPr>
      <w:r w:rsidRPr="003B1476">
        <w:rPr>
          <w:rFonts w:ascii="Calibri" w:eastAsia="Calibri" w:hAnsi="Calibri"/>
          <w:b/>
          <w:bCs/>
          <w:szCs w:val="22"/>
          <w:bdr w:val="none" w:sz="0" w:space="0" w:color="auto"/>
          <w:lang w:val="en-AU"/>
        </w:rPr>
        <w:t>HOCK</w:t>
      </w:r>
      <w:r w:rsidRPr="003B1476">
        <w:rPr>
          <w:rFonts w:ascii="Calibri" w:eastAsia="Calibri" w:hAnsi="Calibri"/>
          <w:b/>
          <w:bCs/>
          <w:spacing w:val="-3"/>
          <w:szCs w:val="22"/>
          <w:bdr w:val="none" w:sz="0" w:space="0" w:color="auto"/>
          <w:lang w:val="en-AU"/>
        </w:rPr>
        <w:t>E</w:t>
      </w:r>
      <w:r w:rsidRPr="003B1476">
        <w:rPr>
          <w:rFonts w:ascii="Calibri" w:eastAsia="Calibri" w:hAnsi="Calibri"/>
          <w:b/>
          <w:bCs/>
          <w:szCs w:val="22"/>
          <w:bdr w:val="none" w:sz="0" w:space="0" w:color="auto"/>
          <w:lang w:val="en-AU"/>
        </w:rPr>
        <w:t>Y</w:t>
      </w:r>
      <w:r w:rsidRPr="003B1476">
        <w:rPr>
          <w:rFonts w:ascii="Calibri" w:eastAsia="Calibri" w:hAnsi="Calibri"/>
          <w:b/>
          <w:bCs/>
          <w:spacing w:val="1"/>
          <w:szCs w:val="22"/>
          <w:bdr w:val="none" w:sz="0" w:space="0" w:color="auto"/>
          <w:lang w:val="en-AU"/>
        </w:rPr>
        <w:t xml:space="preserve"> TASMANIA</w:t>
      </w:r>
      <w:r w:rsidRPr="003B1476">
        <w:rPr>
          <w:rFonts w:ascii="Calibri" w:eastAsia="Calibri" w:hAnsi="Calibri"/>
          <w:b/>
          <w:bCs/>
          <w:szCs w:val="22"/>
          <w:bdr w:val="none" w:sz="0" w:space="0" w:color="auto"/>
          <w:lang w:val="en-AU"/>
        </w:rPr>
        <w:t xml:space="preserve"> R</w:t>
      </w:r>
      <w:r w:rsidRPr="003B1476">
        <w:rPr>
          <w:rFonts w:ascii="Calibri" w:eastAsia="Calibri" w:hAnsi="Calibri"/>
          <w:b/>
          <w:bCs/>
          <w:spacing w:val="-2"/>
          <w:szCs w:val="22"/>
          <w:bdr w:val="none" w:sz="0" w:space="0" w:color="auto"/>
          <w:lang w:val="en-AU"/>
        </w:rPr>
        <w:t>E</w:t>
      </w:r>
      <w:r w:rsidRPr="003B1476">
        <w:rPr>
          <w:rFonts w:ascii="Calibri" w:eastAsia="Calibri" w:hAnsi="Calibri"/>
          <w:b/>
          <w:bCs/>
          <w:spacing w:val="1"/>
          <w:szCs w:val="22"/>
          <w:bdr w:val="none" w:sz="0" w:space="0" w:color="auto"/>
          <w:lang w:val="en-AU"/>
        </w:rPr>
        <w:t>GI</w:t>
      </w:r>
      <w:r w:rsidRPr="003B1476">
        <w:rPr>
          <w:rFonts w:ascii="Calibri" w:eastAsia="Calibri" w:hAnsi="Calibri"/>
          <w:b/>
          <w:bCs/>
          <w:spacing w:val="-3"/>
          <w:szCs w:val="22"/>
          <w:bdr w:val="none" w:sz="0" w:space="0" w:color="auto"/>
          <w:lang w:val="en-AU"/>
        </w:rPr>
        <w:t>S</w:t>
      </w:r>
      <w:r w:rsidRPr="003B1476">
        <w:rPr>
          <w:rFonts w:ascii="Calibri" w:eastAsia="Calibri" w:hAnsi="Calibri"/>
          <w:b/>
          <w:bCs/>
          <w:spacing w:val="1"/>
          <w:szCs w:val="22"/>
          <w:bdr w:val="none" w:sz="0" w:space="0" w:color="auto"/>
          <w:lang w:val="en-AU"/>
        </w:rPr>
        <w:t>T</w:t>
      </w:r>
      <w:r w:rsidRPr="003B1476">
        <w:rPr>
          <w:rFonts w:ascii="Calibri" w:eastAsia="Calibri" w:hAnsi="Calibri"/>
          <w:b/>
          <w:bCs/>
          <w:szCs w:val="22"/>
          <w:bdr w:val="none" w:sz="0" w:space="0" w:color="auto"/>
          <w:lang w:val="en-AU"/>
        </w:rPr>
        <w:t>R</w:t>
      </w:r>
      <w:r w:rsidRPr="003B1476">
        <w:rPr>
          <w:rFonts w:ascii="Calibri" w:eastAsia="Calibri" w:hAnsi="Calibri"/>
          <w:b/>
          <w:bCs/>
          <w:spacing w:val="-1"/>
          <w:szCs w:val="22"/>
          <w:bdr w:val="none" w:sz="0" w:space="0" w:color="auto"/>
          <w:lang w:val="en-AU"/>
        </w:rPr>
        <w:t>AT</w:t>
      </w:r>
      <w:r w:rsidRPr="003B1476">
        <w:rPr>
          <w:rFonts w:ascii="Calibri" w:eastAsia="Calibri" w:hAnsi="Calibri"/>
          <w:b/>
          <w:bCs/>
          <w:spacing w:val="1"/>
          <w:szCs w:val="22"/>
          <w:bdr w:val="none" w:sz="0" w:space="0" w:color="auto"/>
          <w:lang w:val="en-AU"/>
        </w:rPr>
        <w:t>I</w:t>
      </w:r>
      <w:r w:rsidRPr="003B1476">
        <w:rPr>
          <w:rFonts w:ascii="Calibri" w:eastAsia="Calibri" w:hAnsi="Calibri"/>
          <w:b/>
          <w:bCs/>
          <w:szCs w:val="22"/>
          <w:bdr w:val="none" w:sz="0" w:space="0" w:color="auto"/>
          <w:lang w:val="en-AU"/>
        </w:rPr>
        <w:t xml:space="preserve">ON </w:t>
      </w:r>
      <w:r w:rsidRPr="003B1476">
        <w:rPr>
          <w:rFonts w:ascii="Calibri" w:eastAsia="Calibri" w:hAnsi="Calibri"/>
          <w:b/>
          <w:bCs/>
          <w:spacing w:val="1"/>
          <w:szCs w:val="22"/>
          <w:bdr w:val="none" w:sz="0" w:space="0" w:color="auto"/>
          <w:lang w:val="en-AU"/>
        </w:rPr>
        <w:t>2</w:t>
      </w:r>
      <w:r w:rsidR="009E37B9">
        <w:rPr>
          <w:rFonts w:ascii="Calibri" w:eastAsia="Calibri" w:hAnsi="Calibri"/>
          <w:b/>
          <w:bCs/>
          <w:spacing w:val="-2"/>
          <w:szCs w:val="22"/>
          <w:bdr w:val="none" w:sz="0" w:space="0" w:color="auto"/>
          <w:lang w:val="en-AU"/>
        </w:rPr>
        <w:t>02</w:t>
      </w:r>
      <w:r w:rsidR="005F44E6">
        <w:rPr>
          <w:rFonts w:ascii="Calibri" w:eastAsia="Calibri" w:hAnsi="Calibri"/>
          <w:b/>
          <w:bCs/>
          <w:spacing w:val="-2"/>
          <w:szCs w:val="22"/>
          <w:bdr w:val="none" w:sz="0" w:space="0" w:color="auto"/>
          <w:lang w:val="en-AU"/>
        </w:rPr>
        <w:t>4</w:t>
      </w:r>
      <w:r w:rsidR="005F44E6">
        <w:rPr>
          <w:rFonts w:ascii="Calibri" w:eastAsia="Calibri" w:hAnsi="Calibri"/>
          <w:b/>
          <w:bCs/>
          <w:spacing w:val="-2"/>
          <w:szCs w:val="22"/>
          <w:bdr w:val="none" w:sz="0" w:space="0" w:color="auto"/>
          <w:lang w:val="en-AU"/>
        </w:rPr>
        <w:tab/>
      </w:r>
    </w:p>
    <w:p w14:paraId="692E45D7" w14:textId="77777777" w:rsidR="00807F1C" w:rsidRDefault="00807F1C" w:rsidP="00EB5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pacing w:val="-2"/>
          <w:sz w:val="22"/>
          <w:szCs w:val="22"/>
          <w:bdr w:val="none" w:sz="0" w:space="0" w:color="auto"/>
          <w:lang w:val="en-AU"/>
        </w:rPr>
      </w:pPr>
    </w:p>
    <w:p w14:paraId="442D098F" w14:textId="3E3D7A6D" w:rsidR="007F610C" w:rsidRPr="009068E0" w:rsidRDefault="007F610C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Dear Hockey Tasmania Member, </w:t>
      </w:r>
    </w:p>
    <w:p w14:paraId="578E851B" w14:textId="11955107" w:rsidR="00905EDF" w:rsidRPr="009068E0" w:rsidRDefault="00905EDF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</w:p>
    <w:p w14:paraId="7647BB26" w14:textId="40472761" w:rsidR="00905EDF" w:rsidRPr="009068E0" w:rsidRDefault="009E37B9" w:rsidP="0090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/>
          <w:bCs/>
          <w:spacing w:val="-2"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Registrations for the 202</w:t>
      </w:r>
      <w:r w:rsidR="005F44E6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4</w:t>
      </w:r>
      <w:r w:rsidR="001540AD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season will be open </w:t>
      </w:r>
      <w:r w:rsidR="001540AD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from</w:t>
      </w:r>
      <w:r w:rsidR="00905EDF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  <w:r w:rsidR="00D6165F" w:rsidRPr="00D6165F">
        <w:rPr>
          <w:rFonts w:ascii="Calibri" w:eastAsia="Calibri" w:hAnsi="Calibri"/>
          <w:spacing w:val="-2"/>
          <w:sz w:val="22"/>
          <w:szCs w:val="22"/>
          <w:bdr w:val="none" w:sz="0" w:space="0" w:color="auto"/>
          <w:lang w:val="en-AU"/>
        </w:rPr>
        <w:t>22</w:t>
      </w:r>
      <w:r w:rsidR="00905EDF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  <w:r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January</w:t>
      </w:r>
      <w:r w:rsidR="00905EDF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202</w:t>
      </w:r>
      <w:r w:rsidR="005F44E6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4</w:t>
      </w:r>
      <w:r w:rsidR="00905EDF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on</w:t>
      </w:r>
      <w:r w:rsidR="00905EDF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the Hockey Tasmania website registration porta</w:t>
      </w:r>
      <w:r w:rsidR="005F0E8E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l.</w:t>
      </w:r>
    </w:p>
    <w:p w14:paraId="28522275" w14:textId="77777777" w:rsidR="00905EDF" w:rsidRPr="009068E0" w:rsidRDefault="00905EDF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</w:p>
    <w:p w14:paraId="07E2B5DD" w14:textId="3A5BEFAA" w:rsidR="00EB6F36" w:rsidRPr="009068E0" w:rsidRDefault="009B2ED7" w:rsidP="00854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There has been a</w:t>
      </w:r>
      <w:r w:rsidR="005F44E6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  <w:r w:rsidR="001221A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4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% increase of Hockey Tasmania’s</w:t>
      </w: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registration</w:t>
      </w:r>
      <w:r w:rsidR="005F44E6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fees from 2023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.</w:t>
      </w:r>
      <w:r w:rsidR="008974B7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We are pleased to be able to keep this increase </w:t>
      </w:r>
      <w:r w:rsidR="001221A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well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below of the current</w:t>
      </w:r>
      <w:r w:rsidR="008974B7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CPI and inflation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. </w:t>
      </w:r>
      <w:r w:rsid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This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is</w:t>
      </w:r>
      <w:r w:rsid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on the back of 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no increase in fees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in</w:t>
      </w:r>
      <w:r w:rsidR="005F44E6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2021 &amp; 3% in 2022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, </w:t>
      </w:r>
      <w:r w:rsidR="00E22D34" w:rsidRPr="001221A4">
        <w:rPr>
          <w:rFonts w:ascii="Calibri" w:eastAsia="Calibri" w:hAnsi="Calibri"/>
          <w:spacing w:val="-2"/>
          <w:sz w:val="22"/>
          <w:szCs w:val="22"/>
          <w:bdr w:val="none" w:sz="0" w:space="0" w:color="auto"/>
          <w:lang w:val="en-AU"/>
        </w:rPr>
        <w:t>which Hockey Tasmania took</w:t>
      </w:r>
      <w:r w:rsidR="00EB6F36" w:rsidRPr="001221A4">
        <w:rPr>
          <w:rFonts w:ascii="Calibri" w:eastAsia="Calibri" w:hAnsi="Calibri"/>
          <w:spacing w:val="-2"/>
          <w:sz w:val="22"/>
          <w:szCs w:val="22"/>
          <w:bdr w:val="none" w:sz="0" w:space="0" w:color="auto"/>
          <w:lang w:val="en-AU"/>
        </w:rPr>
        <w:t xml:space="preserve"> to encourage and facilitate a return to hockey for as many people</w:t>
      </w:r>
      <w:r w:rsidR="001221A4" w:rsidRPr="001221A4">
        <w:rPr>
          <w:rFonts w:ascii="Calibri" w:eastAsia="Calibri" w:hAnsi="Calibri"/>
          <w:spacing w:val="-2"/>
          <w:sz w:val="22"/>
          <w:szCs w:val="22"/>
          <w:bdr w:val="none" w:sz="0" w:space="0" w:color="auto"/>
          <w:lang w:val="en-AU"/>
        </w:rPr>
        <w:t xml:space="preserve"> as possible</w:t>
      </w:r>
      <w:r w:rsidR="00E22D34" w:rsidRPr="001221A4">
        <w:rPr>
          <w:rFonts w:ascii="Calibri" w:eastAsia="Calibri" w:hAnsi="Calibri"/>
          <w:spacing w:val="-2"/>
          <w:sz w:val="22"/>
          <w:szCs w:val="22"/>
          <w:bdr w:val="none" w:sz="0" w:space="0" w:color="auto"/>
          <w:lang w:val="en-AU"/>
        </w:rPr>
        <w:t>.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A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s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always, and where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possible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,</w:t>
      </w:r>
      <w:r w:rsidR="00854AA5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we </w:t>
      </w:r>
      <w:r w:rsidR="0006608B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endeavour </w:t>
      </w:r>
      <w:r w:rsidR="00854AA5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to keep fees </w:t>
      </w:r>
      <w:r w:rsidR="00E22D3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and any increases </w:t>
      </w:r>
      <w:r w:rsidR="00854AA5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as low as </w:t>
      </w:r>
      <w:r w:rsidR="001221A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we can</w:t>
      </w:r>
      <w:r w:rsidR="00EB6F36" w:rsidRPr="001E0FB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.</w:t>
      </w:r>
      <w:r w:rsidR="00EB6F36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</w:t>
      </w:r>
    </w:p>
    <w:p w14:paraId="1F67826E" w14:textId="77777777" w:rsidR="00EB6F36" w:rsidRPr="009068E0" w:rsidRDefault="00EB6F36" w:rsidP="00EB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</w:p>
    <w:p w14:paraId="5CFD5B88" w14:textId="63DD6A3B" w:rsidR="005F0E8E" w:rsidRDefault="00807F1C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Registration for the </w:t>
      </w:r>
      <w:r w:rsidR="001540AD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Hookin2Hockey</w:t>
      </w: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program will </w:t>
      </w:r>
      <w:r w:rsidR="001540AD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again </w:t>
      </w: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be completed through the </w:t>
      </w:r>
      <w:proofErr w:type="spellStart"/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RevSport</w:t>
      </w:r>
      <w:proofErr w:type="spellEnd"/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portal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. There is a $2</w:t>
      </w:r>
      <w:r w:rsidR="001221A4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2.81 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Hockey Australia f</w:t>
      </w:r>
      <w:r w:rsidR="009B2ED7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ee upon registering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, but like with any other registration, the fee is only payable once </w:t>
      </w:r>
      <w:r w:rsidR="00A2648B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for the year.</w:t>
      </w:r>
    </w:p>
    <w:p w14:paraId="7E568758" w14:textId="77777777" w:rsidR="00807F1C" w:rsidRPr="009068E0" w:rsidRDefault="00807F1C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</w:pPr>
    </w:p>
    <w:p w14:paraId="589323DE" w14:textId="1165530F" w:rsidR="00807F1C" w:rsidRPr="009068E0" w:rsidRDefault="00807F1C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b/>
          <w:bCs/>
          <w:spacing w:val="-2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We are pleased to be offering flexible options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again</w:t>
      </w: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this year with </w:t>
      </w:r>
      <w:r w:rsidR="007F610C"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>5 and 10</w:t>
      </w:r>
      <w:r w:rsidRPr="009068E0">
        <w:rPr>
          <w:rFonts w:ascii="Calibri" w:eastAsia="Calibri" w:hAnsi="Calibri"/>
          <w:bCs/>
          <w:spacing w:val="-2"/>
          <w:sz w:val="22"/>
          <w:szCs w:val="22"/>
          <w:bdr w:val="none" w:sz="0" w:space="0" w:color="auto"/>
          <w:lang w:val="en-AU"/>
        </w:rPr>
        <w:t xml:space="preserve"> game options. Both of these are fully flexible and will allow senior members to play their games anytime throughout the season.  </w:t>
      </w:r>
    </w:p>
    <w:p w14:paraId="1D2B1157" w14:textId="77777777" w:rsidR="003D4B50" w:rsidRPr="009068E0" w:rsidRDefault="003D4B50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69" w:lineRule="auto"/>
        <w:ind w:left="284" w:right="505"/>
        <w:contextualSpacing/>
        <w:rPr>
          <w:rFonts w:ascii="Calibri" w:eastAsia="Calibri" w:hAnsi="Calibri"/>
          <w:spacing w:val="1"/>
          <w:sz w:val="22"/>
          <w:szCs w:val="22"/>
          <w:bdr w:val="none" w:sz="0" w:space="0" w:color="auto"/>
          <w:lang w:val="en-AU" w:eastAsia="en-AU"/>
        </w:rPr>
      </w:pPr>
    </w:p>
    <w:p w14:paraId="3923DE4C" w14:textId="1844FED7" w:rsidR="00D4025E" w:rsidRDefault="003D4B50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69" w:lineRule="auto"/>
        <w:ind w:left="284" w:right="505"/>
        <w:contextualSpacing/>
        <w:rPr>
          <w:rFonts w:ascii="Calibri" w:eastAsia="Calibri" w:hAnsi="Calibri"/>
          <w:spacing w:val="1"/>
          <w:sz w:val="22"/>
          <w:szCs w:val="22"/>
          <w:bdr w:val="none" w:sz="0" w:space="0" w:color="auto"/>
          <w:lang w:val="en-AU" w:eastAsia="en-AU"/>
        </w:rPr>
      </w:pPr>
      <w:r w:rsidRPr="009068E0">
        <w:rPr>
          <w:rFonts w:ascii="Calibri" w:eastAsia="Calibri" w:hAnsi="Calibri"/>
          <w:spacing w:val="1"/>
          <w:sz w:val="22"/>
          <w:szCs w:val="22"/>
          <w:bdr w:val="none" w:sz="0" w:space="0" w:color="auto"/>
          <w:lang w:val="en-AU" w:eastAsia="en-AU"/>
        </w:rPr>
        <w:t xml:space="preserve">All prices are GST inclusive </w:t>
      </w:r>
    </w:p>
    <w:tbl>
      <w:tblPr>
        <w:tblW w:w="99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922"/>
        <w:gridCol w:w="2069"/>
        <w:gridCol w:w="1556"/>
      </w:tblGrid>
      <w:tr w:rsidR="00B234FE" w:rsidRPr="00726549" w14:paraId="0F8AF653" w14:textId="77777777" w:rsidTr="00025CA2">
        <w:trPr>
          <w:trHeight w:val="664"/>
        </w:trPr>
        <w:tc>
          <w:tcPr>
            <w:tcW w:w="4359" w:type="dxa"/>
            <w:shd w:val="clear" w:color="000000" w:fill="C4BB95"/>
            <w:vAlign w:val="center"/>
            <w:hideMark/>
          </w:tcPr>
          <w:p w14:paraId="31F0251E" w14:textId="336928D0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426" w:firstLineChars="393" w:firstLine="865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Class Types (Valid for all co</w:t>
            </w:r>
            <w:r w:rsidR="005F44E6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mpetitions that commence in 2024</w:t>
            </w: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)</w:t>
            </w:r>
          </w:p>
        </w:tc>
        <w:tc>
          <w:tcPr>
            <w:tcW w:w="1922" w:type="dxa"/>
            <w:shd w:val="clear" w:color="000000" w:fill="C4BB95"/>
            <w:vAlign w:val="center"/>
            <w:hideMark/>
          </w:tcPr>
          <w:p w14:paraId="64CCCA7C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Australia Levy</w:t>
            </w:r>
          </w:p>
        </w:tc>
        <w:tc>
          <w:tcPr>
            <w:tcW w:w="2069" w:type="dxa"/>
            <w:shd w:val="clear" w:color="000000" w:fill="C4BB95"/>
            <w:vAlign w:val="center"/>
            <w:hideMark/>
          </w:tcPr>
          <w:p w14:paraId="1F80E80B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Tasmania Registration</w:t>
            </w:r>
          </w:p>
        </w:tc>
        <w:tc>
          <w:tcPr>
            <w:tcW w:w="1556" w:type="dxa"/>
            <w:shd w:val="clear" w:color="000000" w:fill="C4BB95"/>
            <w:vAlign w:val="center"/>
            <w:hideMark/>
          </w:tcPr>
          <w:p w14:paraId="2F529E2D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Total</w:t>
            </w:r>
          </w:p>
        </w:tc>
      </w:tr>
      <w:tr w:rsidR="00B234FE" w:rsidRPr="00726549" w14:paraId="16632D46" w14:textId="77777777" w:rsidTr="00025CA2">
        <w:trPr>
          <w:trHeight w:val="510"/>
        </w:trPr>
        <w:tc>
          <w:tcPr>
            <w:tcW w:w="4359" w:type="dxa"/>
            <w:shd w:val="clear" w:color="auto" w:fill="auto"/>
            <w:vAlign w:val="center"/>
            <w:hideMark/>
          </w:tcPr>
          <w:p w14:paraId="611876B0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Full Season ; 18 or older 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14:paraId="028E220C" w14:textId="19011623" w:rsidR="00B234FE" w:rsidRPr="00693310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highlight w:val="yellow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57.31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14:paraId="21BCCD40" w14:textId="2144EEDE" w:rsidR="00B234FE" w:rsidRPr="00E1658B" w:rsidRDefault="00FF3DDB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$85.29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31ACE24" w14:textId="63FEE10F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142.60</w:t>
            </w:r>
          </w:p>
        </w:tc>
      </w:tr>
      <w:tr w:rsidR="00B234FE" w:rsidRPr="00726549" w14:paraId="038CAAF1" w14:textId="77777777" w:rsidTr="00025CA2">
        <w:trPr>
          <w:trHeight w:val="510"/>
        </w:trPr>
        <w:tc>
          <w:tcPr>
            <w:tcW w:w="4359" w:type="dxa"/>
            <w:shd w:val="clear" w:color="auto" w:fill="auto"/>
            <w:noWrap/>
            <w:vAlign w:val="center"/>
          </w:tcPr>
          <w:p w14:paraId="75CC8302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Junior; Under 18 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14:paraId="41CAE6DA" w14:textId="405F6EB0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45.31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070E3E" w14:textId="6DE54103" w:rsidR="00B234FE" w:rsidRPr="00E1658B" w:rsidRDefault="00FF3DDB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$34.89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49BA1A38" w14:textId="749CFAED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80.20</w:t>
            </w:r>
          </w:p>
        </w:tc>
      </w:tr>
      <w:tr w:rsidR="00B234FE" w:rsidRPr="00726549" w14:paraId="5AF94910" w14:textId="77777777" w:rsidTr="00025CA2">
        <w:trPr>
          <w:trHeight w:val="510"/>
        </w:trPr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8695CC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10 Game Pass </w:t>
            </w:r>
          </w:p>
        </w:tc>
        <w:tc>
          <w:tcPr>
            <w:tcW w:w="192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2DA06E" w14:textId="2587E329" w:rsidR="00B234FE" w:rsidRPr="00441577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441577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42.81</w:t>
            </w:r>
          </w:p>
        </w:tc>
        <w:tc>
          <w:tcPr>
            <w:tcW w:w="20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707653" w14:textId="67008204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45.29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56782A3D" w14:textId="2BFF8153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88.10</w:t>
            </w:r>
          </w:p>
        </w:tc>
      </w:tr>
      <w:tr w:rsidR="00B234FE" w:rsidRPr="00726549" w14:paraId="5971D4AF" w14:textId="77777777" w:rsidTr="00025CA2">
        <w:trPr>
          <w:trHeight w:val="397"/>
        </w:trPr>
        <w:tc>
          <w:tcPr>
            <w:tcW w:w="43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E206" w14:textId="77777777" w:rsidR="00B234FE" w:rsidRPr="00B4713F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from 10 Game Pass to Full Season</w:t>
            </w:r>
          </w:p>
        </w:tc>
        <w:tc>
          <w:tcPr>
            <w:tcW w:w="1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D9A5" w14:textId="77777777" w:rsidR="00B234FE" w:rsidRPr="00441577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2"/>
                <w:bdr w:val="none" w:sz="0" w:space="0" w:color="auto"/>
                <w:lang w:val="en-AU" w:eastAsia="en-AU"/>
              </w:rPr>
            </w:pPr>
            <w:r w:rsidRPr="00441577">
              <w:rPr>
                <w:rFonts w:ascii="Calibri" w:eastAsia="Times New Roman" w:hAnsi="Calibri"/>
                <w:bCs/>
                <w:i/>
                <w:color w:val="000000"/>
                <w:sz w:val="20"/>
                <w:szCs w:val="22"/>
                <w:bdr w:val="none" w:sz="0" w:space="0" w:color="auto"/>
                <w:lang w:val="en-AU" w:eastAsia="en-AU"/>
              </w:rPr>
              <w:t>$14.50</w:t>
            </w:r>
          </w:p>
        </w:tc>
        <w:tc>
          <w:tcPr>
            <w:tcW w:w="2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6423" w14:textId="1E403069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40.00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5A58" w14:textId="2080CBAB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54.50</w:t>
            </w:r>
          </w:p>
        </w:tc>
      </w:tr>
      <w:tr w:rsidR="00B234FE" w:rsidRPr="00726549" w14:paraId="3A2A0679" w14:textId="77777777" w:rsidTr="00025CA2">
        <w:trPr>
          <w:trHeight w:val="510"/>
        </w:trPr>
        <w:tc>
          <w:tcPr>
            <w:tcW w:w="43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EF91AEE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5 Game Pass </w:t>
            </w:r>
          </w:p>
        </w:tc>
        <w:tc>
          <w:tcPr>
            <w:tcW w:w="192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58B291A" w14:textId="3C3FFCA3" w:rsidR="00B234FE" w:rsidRPr="00693310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highlight w:val="yellow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29.81</w:t>
            </w:r>
          </w:p>
        </w:tc>
        <w:tc>
          <w:tcPr>
            <w:tcW w:w="20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B4A20A" w14:textId="0F02368C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35.39</w:t>
            </w:r>
          </w:p>
        </w:tc>
        <w:tc>
          <w:tcPr>
            <w:tcW w:w="155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AB91A12" w14:textId="2A90933E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65.20</w:t>
            </w:r>
          </w:p>
        </w:tc>
      </w:tr>
      <w:tr w:rsidR="00B234FE" w:rsidRPr="00726549" w14:paraId="0D645498" w14:textId="77777777" w:rsidTr="00025CA2">
        <w:trPr>
          <w:trHeight w:val="397"/>
        </w:trPr>
        <w:tc>
          <w:tcPr>
            <w:tcW w:w="43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2F1" w14:textId="77777777" w:rsidR="00B234FE" w:rsidRPr="00B4713F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from 5 Game Pass to Full Season</w:t>
            </w:r>
          </w:p>
        </w:tc>
        <w:tc>
          <w:tcPr>
            <w:tcW w:w="1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03A" w14:textId="77777777" w:rsidR="00B234FE" w:rsidRPr="00B4713F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$27.50</w:t>
            </w:r>
          </w:p>
        </w:tc>
        <w:tc>
          <w:tcPr>
            <w:tcW w:w="2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D177" w14:textId="101545A2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49.90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BE9C" w14:textId="45EC144E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77.40</w:t>
            </w:r>
          </w:p>
        </w:tc>
      </w:tr>
      <w:tr w:rsidR="00B234FE" w:rsidRPr="00726549" w14:paraId="49A3ED35" w14:textId="77777777" w:rsidTr="00025CA2">
        <w:trPr>
          <w:trHeight w:val="510"/>
        </w:trPr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0E109A" w14:textId="59A02938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Hookin2Hockey</w:t>
            </w: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; 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br/>
            </w: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6 years of age or older 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9FC56C" w14:textId="3659D1D8" w:rsidR="00B234FE" w:rsidRPr="00693310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highlight w:val="yellow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C80" w14:textId="77777777" w:rsidR="00B234FE" w:rsidRPr="00E1658B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632589" w14:textId="1CFB4A1D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</w:tr>
      <w:tr w:rsidR="00B234FE" w:rsidRPr="00E1658B" w14:paraId="0DC8F5F4" w14:textId="77777777" w:rsidTr="00025CA2">
        <w:trPr>
          <w:trHeight w:val="510"/>
        </w:trPr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CFEE96" w14:textId="77777777" w:rsidR="00B234FE" w:rsidRPr="00726549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Spectator Pass + Non-Playing Member </w:t>
            </w:r>
          </w:p>
        </w:tc>
        <w:tc>
          <w:tcPr>
            <w:tcW w:w="19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00AC49" w14:textId="77777777" w:rsidR="00B234FE" w:rsidRPr="00693310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highlight w:val="yellow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206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8DE446A" w14:textId="76C1A611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F34C75" w14:textId="4CFD5A2D" w:rsidR="00B234FE" w:rsidRPr="00E1658B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E1658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</w:tr>
      <w:tr w:rsidR="00B234FE" w:rsidRPr="00E1658B" w14:paraId="349130D8" w14:textId="77777777" w:rsidTr="00FF3DDB">
        <w:trPr>
          <w:trHeight w:val="397"/>
        </w:trPr>
        <w:tc>
          <w:tcPr>
            <w:tcW w:w="43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90561F" w14:textId="77777777" w:rsidR="00B234FE" w:rsidRPr="00B4713F" w:rsidRDefault="00B234FE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Spectator Pass to Player</w:t>
            </w:r>
          </w:p>
        </w:tc>
        <w:tc>
          <w:tcPr>
            <w:tcW w:w="19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44E437" w14:textId="7EDD9C92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57.31</w:t>
            </w:r>
          </w:p>
        </w:tc>
        <w:tc>
          <w:tcPr>
            <w:tcW w:w="20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2F3DCAE" w14:textId="3FBDDBFF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$7.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29</w:t>
            </w: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660317" w14:textId="40F125CD" w:rsidR="00B234FE" w:rsidRPr="00B4713F" w:rsidRDefault="00B234FE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B4713F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FF3DD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64.60</w:t>
            </w:r>
          </w:p>
        </w:tc>
      </w:tr>
      <w:tr w:rsidR="00FF3DDB" w:rsidRPr="00E1658B" w14:paraId="25F4F1E8" w14:textId="77777777" w:rsidTr="00025CA2">
        <w:trPr>
          <w:trHeight w:val="397"/>
        </w:trPr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BBF38" w14:textId="77777777" w:rsidR="00FF3DDB" w:rsidRPr="00B4713F" w:rsidRDefault="00FF3DDB" w:rsidP="00025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</w:p>
        </w:tc>
        <w:tc>
          <w:tcPr>
            <w:tcW w:w="19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23BBEF" w14:textId="77777777" w:rsidR="00FF3DDB" w:rsidRPr="00B4713F" w:rsidRDefault="00FF3DDB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</w:p>
        </w:tc>
        <w:tc>
          <w:tcPr>
            <w:tcW w:w="2069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37ED8B94" w14:textId="77777777" w:rsidR="00FF3DDB" w:rsidRPr="00B4713F" w:rsidRDefault="00FF3DDB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1078BF" w14:textId="77777777" w:rsidR="00FF3DDB" w:rsidRPr="00B4713F" w:rsidRDefault="00FF3DDB" w:rsidP="00FF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</w:p>
        </w:tc>
      </w:tr>
    </w:tbl>
    <w:p w14:paraId="5FDFB986" w14:textId="77777777" w:rsidR="009E37B9" w:rsidRPr="009068E0" w:rsidRDefault="009E37B9" w:rsidP="007F6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69" w:lineRule="auto"/>
        <w:ind w:left="284" w:right="505"/>
        <w:contextualSpacing/>
        <w:rPr>
          <w:rFonts w:ascii="Calibri" w:eastAsia="Calibri" w:hAnsi="Calibri"/>
          <w:b/>
          <w:bCs/>
          <w:sz w:val="22"/>
          <w:szCs w:val="22"/>
          <w:bdr w:val="none" w:sz="0" w:space="0" w:color="auto"/>
          <w:lang w:val="en-AU"/>
        </w:rPr>
      </w:pPr>
    </w:p>
    <w:p w14:paraId="4AE4D6E4" w14:textId="5759B1B2" w:rsidR="00C87831" w:rsidRDefault="00A36D09" w:rsidP="005F0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426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Please note the </w:t>
      </w:r>
      <w:r w:rsidR="00C87831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Hockey Australia Levy </w:t>
      </w:r>
      <w:r w:rsidR="009B2ED7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increased by </w:t>
      </w:r>
      <w:r w:rsidR="00B234FE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$</w:t>
      </w:r>
      <w:r w:rsidR="001221A4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3.31 for seniors and $2.81</w:t>
      </w:r>
      <w:r w:rsidR="009542EC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for juniors</w:t>
      </w:r>
      <w:r w:rsidR="00B234FE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  <w:r w:rsidR="009E37B9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from 202</w:t>
      </w:r>
      <w:r w:rsidR="009542EC" w:rsidRPr="00D6165F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3</w:t>
      </w:r>
      <w:r w:rsidR="002739CD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  <w:r w:rsidR="009B2ED7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and </w:t>
      </w:r>
      <w:r w:rsidR="00C87831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includes</w:t>
      </w:r>
      <w:r w:rsidR="00807F1C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:</w:t>
      </w:r>
      <w:r w:rsidR="00807F1C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br/>
        <w:t>A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nnual pl</w:t>
      </w:r>
      <w:r w:rsidR="009B2ED7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ayer insurance </w:t>
      </w:r>
      <w:r w:rsidR="009B2ED7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of $1</w:t>
      </w:r>
      <w:r w:rsidR="001221A4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4.71</w:t>
      </w:r>
      <w:r w:rsidR="009B2ED7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for juniors and seniors with a</w:t>
      </w:r>
      <w:r w:rsidR="00C87831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$</w:t>
      </w:r>
      <w:r w:rsidR="001221A4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8.71</w:t>
      </w:r>
      <w:r w:rsidR="00C87831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  <w:r w:rsidR="009B2ED7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fee </w:t>
      </w:r>
      <w:r w:rsidR="00C87831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for </w:t>
      </w:r>
      <w:r w:rsidR="00B234FE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Hookin2Hockey</w:t>
      </w:r>
      <w:r w:rsidR="00C87831" w:rsidRPr="001221A4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players.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  <w:r w:rsidR="00B234F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br/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lastRenderedPageBreak/>
        <w:t>A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National Redress Scheme </w:t>
      </w:r>
      <w:r w:rsidR="00074D5E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c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omponent 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of </w:t>
      </w:r>
      <w:r w:rsidRPr="00E54A08">
        <w:rPr>
          <w:rFonts w:ascii="Calibri" w:eastAsia="Calibri" w:hAnsi="Calibri"/>
          <w:bCs/>
          <w:sz w:val="22"/>
          <w:szCs w:val="22"/>
          <w:bdr w:val="none" w:sz="0" w:space="0" w:color="auto"/>
          <w:lang w:val="en-AU"/>
        </w:rPr>
        <w:t xml:space="preserve">$3.30 and a small </w:t>
      </w:r>
      <w:proofErr w:type="spellStart"/>
      <w:r w:rsidRPr="00E54A08">
        <w:rPr>
          <w:rFonts w:ascii="Calibri" w:eastAsia="Calibri" w:hAnsi="Calibri"/>
          <w:bCs/>
          <w:sz w:val="22"/>
          <w:szCs w:val="22"/>
          <w:bdr w:val="none" w:sz="0" w:space="0" w:color="auto"/>
          <w:lang w:val="en-AU"/>
        </w:rPr>
        <w:t>RevSport</w:t>
      </w:r>
      <w:proofErr w:type="spellEnd"/>
      <w:r w:rsidRPr="00E54A08">
        <w:rPr>
          <w:rFonts w:ascii="Calibri" w:eastAsia="Calibri" w:hAnsi="Calibri"/>
          <w:bCs/>
          <w:sz w:val="22"/>
          <w:szCs w:val="22"/>
          <w:bdr w:val="none" w:sz="0" w:space="0" w:color="auto"/>
          <w:lang w:val="en-AU"/>
        </w:rPr>
        <w:t xml:space="preserve"> fee</w:t>
      </w:r>
      <w:r w:rsidRPr="005F44E6"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  <w:t>.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 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br/>
        <w:t>There will also be a merchant fee added on</w:t>
      </w:r>
      <w:r w:rsidR="00807F1C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to the </w:t>
      </w:r>
      <w:r w:rsidR="00C87831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complete registration </w:t>
      </w:r>
      <w:r w:rsidR="00807F1C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cost</w:t>
      </w:r>
      <w:r w:rsidR="00074D5E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</w:p>
    <w:p w14:paraId="2D7BB87C" w14:textId="38D11B24" w:rsidR="009068E0" w:rsidRPr="00C079B0" w:rsidRDefault="00B234FE" w:rsidP="00C07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426"/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Benefits with the Hockey Australia</w:t>
      </w:r>
      <w:r w:rsidR="00BF0C9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Levy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include </w:t>
      </w:r>
      <w:r w:rsidR="00E54A08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a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nnual access to all l</w:t>
      </w:r>
      <w:r w:rsidR="00A92EA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i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ve and on-demand content on LiveHockey.com.au</w:t>
      </w:r>
      <w:r w:rsidR="00C079B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</w:p>
    <w:p w14:paraId="1D9CF430" w14:textId="54892C77" w:rsidR="00506F3C" w:rsidRPr="009068E0" w:rsidRDefault="00506F3C" w:rsidP="003B1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Payment of the senior or junior classes will allow players to participate in;</w:t>
      </w:r>
    </w:p>
    <w:p w14:paraId="06FDF175" w14:textId="52C91F1F" w:rsidR="00506F3C" w:rsidRPr="009068E0" w:rsidRDefault="00506F3C" w:rsidP="003B147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Any full field club co</w:t>
      </w:r>
      <w:r w:rsidR="005F44E6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mpetition that commences in 2024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;</w:t>
      </w:r>
    </w:p>
    <w:p w14:paraId="40313D6E" w14:textId="489E2512" w:rsidR="00506F3C" w:rsidRPr="009068E0" w:rsidRDefault="00506F3C" w:rsidP="003B147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More than one grade in any competition; </w:t>
      </w:r>
    </w:p>
    <w:p w14:paraId="146D8543" w14:textId="1D7E5580" w:rsidR="00506F3C" w:rsidRPr="009068E0" w:rsidRDefault="00506F3C" w:rsidP="003B147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More than one regional competition during the season; </w:t>
      </w:r>
    </w:p>
    <w:p w14:paraId="7600F32F" w14:textId="45EDA208" w:rsidR="00506F3C" w:rsidRPr="009068E0" w:rsidRDefault="00440540" w:rsidP="003B147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B</w:t>
      </w:r>
      <w:r w:rsidR="00506F3C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oth school and club competition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s</w:t>
      </w:r>
      <w:r w:rsidR="00506F3C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. </w:t>
      </w:r>
    </w:p>
    <w:p w14:paraId="2DE3DED4" w14:textId="703220D7" w:rsidR="00807F1C" w:rsidRPr="009068E0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Players aged </w:t>
      </w:r>
      <w:r w:rsidR="00503216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under 18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should only pay the junior fee even i</w:t>
      </w:r>
      <w:r w:rsidR="009B2ED7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f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they play in a senior competition or play as a senior and junior. </w:t>
      </w:r>
    </w:p>
    <w:p w14:paraId="5B3B039F" w14:textId="4953EE73" w:rsidR="007F1304" w:rsidRPr="009068E0" w:rsidRDefault="003B1476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The </w:t>
      </w:r>
      <w:r w:rsidR="009E37B9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Hookin2Hockey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registration does not allow you to play in a traditional full field club competition. If you wish to transition to a full field competition, you must upgrade to a junior registration (you will only pay the differen</w:t>
      </w:r>
      <w:r w:rsidR="00780259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ce 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between the two options)</w:t>
      </w:r>
      <w:r w:rsidR="00146BB0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</w:p>
    <w:p w14:paraId="6A2C9136" w14:textId="61F83298" w:rsidR="00807F1C" w:rsidRPr="009068E0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en-AU"/>
        </w:rPr>
        <w:t>As a player you must register and pay before you play a game.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If you do not, your details cannot be entered on the com</w:t>
      </w:r>
      <w:r w:rsidR="0004045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petition 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management system and your team will be deemed to have played an unregistered player. </w:t>
      </w:r>
    </w:p>
    <w:p w14:paraId="04F46D5B" w14:textId="4B5C5F3B" w:rsidR="00807F1C" w:rsidRPr="009068E0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Most importantly you will not be insured. </w:t>
      </w:r>
    </w:p>
    <w:p w14:paraId="0688DB94" w14:textId="7C531AC8" w:rsidR="00807F1C" w:rsidRPr="009068E0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Hockey Tasmania will distribute player passes to clubs for their senior members who are appropriately registered and paid. A season pass entitles you to access the Northern Hockey Centre and the Tasmanian Hockey Centre free of charge. </w:t>
      </w:r>
    </w:p>
    <w:p w14:paraId="39D736FA" w14:textId="4F2E5268" w:rsidR="00807F1C" w:rsidRPr="005F44E6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There is no entry fee at these venues for anyone under the age of 18</w:t>
      </w:r>
      <w:r w:rsidR="00503216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Season spectator passes can be purchase</w:t>
      </w:r>
      <w:r w:rsidR="00B234F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d online by non-</w:t>
      </w:r>
      <w:r w:rsidR="00B234FE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players </w:t>
      </w:r>
      <w:r w:rsidR="00F53255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for $78</w:t>
      </w:r>
      <w:r w:rsidR="00B234FE" w:rsidRPr="009542E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  <w:r w:rsidRPr="005F44E6"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  <w:t xml:space="preserve"> </w:t>
      </w:r>
    </w:p>
    <w:p w14:paraId="35E3FB8D" w14:textId="1DCBBB77" w:rsidR="00807F1C" w:rsidRPr="009068E0" w:rsidRDefault="00807F1C" w:rsidP="007F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88" w:lineRule="auto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Life members will receive free season gate passes upon application (this only applies to those life members who do not have a gate pass)</w:t>
      </w:r>
      <w:r w:rsidR="00EB57C9"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.</w:t>
      </w:r>
      <w:r w:rsidRPr="009068E0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 </w:t>
      </w:r>
    </w:p>
    <w:p w14:paraId="541CE0CB" w14:textId="77777777" w:rsidR="00736D19" w:rsidRDefault="00736D19" w:rsidP="009068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 w:after="240" w:line="240" w:lineRule="exact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</w:p>
    <w:p w14:paraId="4EBB6324" w14:textId="1C99D213" w:rsidR="00933923" w:rsidRDefault="00933923" w:rsidP="009068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 w:after="240" w:line="240" w:lineRule="exact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We wish everyone all the best for season 2024.</w:t>
      </w:r>
    </w:p>
    <w:p w14:paraId="37DAB8C8" w14:textId="77777777" w:rsidR="00917BA8" w:rsidRPr="00D4025E" w:rsidRDefault="00917BA8" w:rsidP="009068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 w:after="240" w:line="240" w:lineRule="exact"/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</w:p>
    <w:p w14:paraId="3929C81B" w14:textId="77777777" w:rsidR="009068E0" w:rsidRPr="00D4025E" w:rsidRDefault="009068E0" w:rsidP="009068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D4025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Damian Smith </w:t>
      </w:r>
    </w:p>
    <w:p w14:paraId="12EE8569" w14:textId="77777777" w:rsidR="009068E0" w:rsidRPr="00D4025E" w:rsidRDefault="009068E0" w:rsidP="009068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D4025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 xml:space="preserve">Chief Executive Officer </w:t>
      </w:r>
    </w:p>
    <w:p w14:paraId="418000D8" w14:textId="3084CB83" w:rsidR="009068E0" w:rsidRPr="009068E0" w:rsidRDefault="009068E0" w:rsidP="00432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D4025E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en-AU" w:eastAsia="en-AU"/>
        </w:rPr>
        <w:t>Hockey Tasmania</w:t>
      </w:r>
    </w:p>
    <w:sectPr w:rsidR="009068E0" w:rsidRPr="009068E0" w:rsidSect="007F610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1361" w14:textId="77777777" w:rsidR="005C643C" w:rsidRDefault="005C643C" w:rsidP="009059CE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6444F323" w14:textId="77777777" w:rsidR="005C643C" w:rsidRDefault="005C643C" w:rsidP="009059CE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50B6" w14:textId="77777777" w:rsidR="009059CE" w:rsidRDefault="009059CE" w:rsidP="009059CE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A4FD" w14:textId="5B42C98A" w:rsidR="00382D5A" w:rsidRPr="00F54236" w:rsidRDefault="00804611" w:rsidP="009059CE">
    <w:pPr>
      <w:pStyle w:val="Header"/>
      <w:pBdr>
        <w:top w:val="single" w:sz="4" w:space="1" w:color="auto"/>
      </w:pBdr>
      <w:tabs>
        <w:tab w:val="clear" w:pos="4680"/>
        <w:tab w:val="left" w:pos="11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</w:t>
    </w:r>
    <w:r w:rsidR="00D4025E">
      <w:rPr>
        <w:rFonts w:ascii="Arial" w:hAnsi="Arial" w:cs="Arial"/>
        <w:i/>
        <w:sz w:val="18"/>
        <w:szCs w:val="18"/>
      </w:rPr>
      <w:t>Hockey Tasmania Registration</w:t>
    </w:r>
    <w:r w:rsidR="005F44E6">
      <w:rPr>
        <w:rFonts w:ascii="Arial" w:hAnsi="Arial" w:cs="Arial"/>
        <w:i/>
        <w:sz w:val="18"/>
        <w:szCs w:val="18"/>
      </w:rPr>
      <w:t xml:space="preserve"> 2024</w:t>
    </w:r>
    <w:r w:rsidR="00EE39E3">
      <w:rPr>
        <w:rFonts w:ascii="Arial" w:hAnsi="Arial" w:cs="Arial"/>
        <w:sz w:val="18"/>
        <w:szCs w:val="18"/>
      </w:rPr>
      <w:t xml:space="preserve">  </w:t>
    </w:r>
    <w:r w:rsidR="00F54236">
      <w:rPr>
        <w:rFonts w:ascii="Arial" w:hAnsi="Arial" w:cs="Arial"/>
        <w:sz w:val="18"/>
        <w:szCs w:val="18"/>
      </w:rPr>
      <w:t xml:space="preserve">     </w:t>
    </w:r>
    <w:r w:rsidR="00EE39E3">
      <w:rPr>
        <w:rFonts w:ascii="Arial" w:hAnsi="Arial" w:cs="Arial"/>
        <w:sz w:val="18"/>
        <w:szCs w:val="18"/>
      </w:rPr>
      <w:t xml:space="preserve">  </w:t>
    </w:r>
    <w:r w:rsidR="00F25C9A">
      <w:tab/>
    </w:r>
    <w:r w:rsidR="00F25C9A" w:rsidRPr="00F54236">
      <w:rPr>
        <w:rFonts w:ascii="Arial" w:hAnsi="Arial" w:cs="Arial"/>
        <w:bCs/>
        <w:i/>
        <w:sz w:val="18"/>
        <w:szCs w:val="18"/>
      </w:rPr>
      <w:fldChar w:fldCharType="begin"/>
    </w:r>
    <w:r w:rsidR="00F25C9A" w:rsidRPr="00F54236">
      <w:rPr>
        <w:rFonts w:ascii="Arial" w:hAnsi="Arial" w:cs="Arial"/>
        <w:bCs/>
        <w:i/>
        <w:sz w:val="18"/>
        <w:szCs w:val="18"/>
      </w:rPr>
      <w:instrText xml:space="preserve"> PAGE </w:instrText>
    </w:r>
    <w:r w:rsidR="00F25C9A" w:rsidRPr="00F54236">
      <w:rPr>
        <w:rFonts w:ascii="Arial" w:hAnsi="Arial" w:cs="Arial"/>
        <w:bCs/>
        <w:i/>
        <w:sz w:val="18"/>
        <w:szCs w:val="18"/>
      </w:rPr>
      <w:fldChar w:fldCharType="separate"/>
    </w:r>
    <w:r w:rsidR="00F53255">
      <w:rPr>
        <w:rFonts w:ascii="Arial" w:hAnsi="Arial" w:cs="Arial"/>
        <w:bCs/>
        <w:i/>
        <w:noProof/>
        <w:sz w:val="18"/>
        <w:szCs w:val="18"/>
      </w:rPr>
      <w:t>1</w:t>
    </w:r>
    <w:r w:rsidR="00F25C9A" w:rsidRPr="00F54236">
      <w:rPr>
        <w:rFonts w:ascii="Arial" w:hAnsi="Arial" w:cs="Arial"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5A2" w14:textId="77777777" w:rsidR="009059CE" w:rsidRDefault="009059CE" w:rsidP="009059C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764" w14:textId="77777777" w:rsidR="005C643C" w:rsidRDefault="005C643C" w:rsidP="009059CE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6E2FABB0" w14:textId="77777777" w:rsidR="005C643C" w:rsidRDefault="005C643C" w:rsidP="009059CE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0FE" w14:textId="77777777" w:rsidR="009059CE" w:rsidRDefault="009059CE" w:rsidP="009059C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4C8" w14:textId="77777777" w:rsidR="009059CE" w:rsidRDefault="009059CE" w:rsidP="009059C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AC"/>
    <w:multiLevelType w:val="hybridMultilevel"/>
    <w:tmpl w:val="4A40E610"/>
    <w:lvl w:ilvl="0" w:tplc="8BA601BE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BA7274"/>
    <w:multiLevelType w:val="hybridMultilevel"/>
    <w:tmpl w:val="EF8EE0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27C99C"/>
    <w:multiLevelType w:val="hybridMultilevel"/>
    <w:tmpl w:val="B297FF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787409"/>
    <w:multiLevelType w:val="hybridMultilevel"/>
    <w:tmpl w:val="7A8605C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F77C8E"/>
    <w:multiLevelType w:val="hybridMultilevel"/>
    <w:tmpl w:val="322059B8"/>
    <w:styleLink w:val="Bullets"/>
    <w:lvl w:ilvl="0" w:tplc="5ACE1834">
      <w:start w:val="1"/>
      <w:numFmt w:val="bullet"/>
      <w:lvlText w:val="•"/>
      <w:lvlJc w:val="left"/>
      <w:pPr>
        <w:tabs>
          <w:tab w:val="left" w:pos="660"/>
        </w:tabs>
        <w:ind w:left="3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5485EC">
      <w:start w:val="1"/>
      <w:numFmt w:val="bullet"/>
      <w:lvlText w:val="•"/>
      <w:lvlJc w:val="left"/>
      <w:pPr>
        <w:tabs>
          <w:tab w:val="left" w:pos="660"/>
        </w:tabs>
        <w:ind w:left="9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43422">
      <w:start w:val="1"/>
      <w:numFmt w:val="bullet"/>
      <w:lvlText w:val="•"/>
      <w:lvlJc w:val="left"/>
      <w:pPr>
        <w:tabs>
          <w:tab w:val="left" w:pos="660"/>
        </w:tabs>
        <w:ind w:left="15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0AEEE">
      <w:start w:val="1"/>
      <w:numFmt w:val="bullet"/>
      <w:lvlText w:val="•"/>
      <w:lvlJc w:val="left"/>
      <w:pPr>
        <w:tabs>
          <w:tab w:val="left" w:pos="660"/>
        </w:tabs>
        <w:ind w:left="21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2B03C">
      <w:start w:val="1"/>
      <w:numFmt w:val="bullet"/>
      <w:lvlText w:val="•"/>
      <w:lvlJc w:val="left"/>
      <w:pPr>
        <w:tabs>
          <w:tab w:val="left" w:pos="660"/>
        </w:tabs>
        <w:ind w:left="27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AC02B0">
      <w:start w:val="1"/>
      <w:numFmt w:val="bullet"/>
      <w:lvlText w:val="•"/>
      <w:lvlJc w:val="left"/>
      <w:pPr>
        <w:tabs>
          <w:tab w:val="left" w:pos="660"/>
        </w:tabs>
        <w:ind w:left="33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AF2A8">
      <w:start w:val="1"/>
      <w:numFmt w:val="bullet"/>
      <w:lvlText w:val="•"/>
      <w:lvlJc w:val="left"/>
      <w:pPr>
        <w:tabs>
          <w:tab w:val="left" w:pos="660"/>
        </w:tabs>
        <w:ind w:left="39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8F884">
      <w:start w:val="1"/>
      <w:numFmt w:val="bullet"/>
      <w:lvlText w:val="•"/>
      <w:lvlJc w:val="left"/>
      <w:pPr>
        <w:tabs>
          <w:tab w:val="left" w:pos="660"/>
        </w:tabs>
        <w:ind w:left="45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489454">
      <w:start w:val="1"/>
      <w:numFmt w:val="bullet"/>
      <w:lvlText w:val="•"/>
      <w:lvlJc w:val="left"/>
      <w:pPr>
        <w:tabs>
          <w:tab w:val="left" w:pos="660"/>
        </w:tabs>
        <w:ind w:left="51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74EDB"/>
    <w:multiLevelType w:val="hybridMultilevel"/>
    <w:tmpl w:val="5BCACA7C"/>
    <w:lvl w:ilvl="0" w:tplc="F8D6B872">
      <w:numFmt w:val="bullet"/>
      <w:lvlText w:val="•"/>
      <w:lvlJc w:val="left"/>
      <w:pPr>
        <w:ind w:left="60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37C95B4A"/>
    <w:multiLevelType w:val="hybridMultilevel"/>
    <w:tmpl w:val="A9E42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0FA1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032D"/>
    <w:multiLevelType w:val="hybridMultilevel"/>
    <w:tmpl w:val="2E003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55188"/>
    <w:multiLevelType w:val="hybridMultilevel"/>
    <w:tmpl w:val="12CC5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7AA7"/>
    <w:multiLevelType w:val="hybridMultilevel"/>
    <w:tmpl w:val="637E3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2392E"/>
    <w:multiLevelType w:val="hybridMultilevel"/>
    <w:tmpl w:val="C350567C"/>
    <w:lvl w:ilvl="0" w:tplc="D17C3C0C">
      <w:start w:val="1"/>
      <w:numFmt w:val="bullet"/>
      <w:lvlText w:val="•"/>
      <w:lvlJc w:val="left"/>
      <w:pPr>
        <w:tabs>
          <w:tab w:val="left" w:pos="660"/>
        </w:tabs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5590D"/>
    <w:multiLevelType w:val="hybridMultilevel"/>
    <w:tmpl w:val="322059B8"/>
    <w:numStyleLink w:val="Bullets"/>
  </w:abstractNum>
  <w:abstractNum w:abstractNumId="12" w15:restartNumberingAfterBreak="0">
    <w:nsid w:val="572438EB"/>
    <w:multiLevelType w:val="hybridMultilevel"/>
    <w:tmpl w:val="053417D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E004E6"/>
    <w:multiLevelType w:val="hybridMultilevel"/>
    <w:tmpl w:val="53D484C4"/>
    <w:lvl w:ilvl="0" w:tplc="221C072C">
      <w:numFmt w:val="bullet"/>
      <w:lvlText w:val="•"/>
      <w:lvlJc w:val="left"/>
      <w:pPr>
        <w:ind w:left="461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1A4F"/>
    <w:multiLevelType w:val="hybridMultilevel"/>
    <w:tmpl w:val="18CCAEE6"/>
    <w:lvl w:ilvl="0" w:tplc="0C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0405"/>
    <w:multiLevelType w:val="hybridMultilevel"/>
    <w:tmpl w:val="C380B0EC"/>
    <w:lvl w:ilvl="0" w:tplc="D17C3C0C">
      <w:start w:val="1"/>
      <w:numFmt w:val="bullet"/>
      <w:lvlText w:val="•"/>
      <w:lvlJc w:val="left"/>
      <w:pPr>
        <w:tabs>
          <w:tab w:val="left" w:pos="660"/>
        </w:tabs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B0AFE6">
      <w:start w:val="1"/>
      <w:numFmt w:val="bullet"/>
      <w:lvlText w:val="•"/>
      <w:lvlJc w:val="left"/>
      <w:pPr>
        <w:tabs>
          <w:tab w:val="left" w:pos="660"/>
        </w:tabs>
        <w:ind w:left="1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E1BF6">
      <w:start w:val="1"/>
      <w:numFmt w:val="bullet"/>
      <w:lvlText w:val="•"/>
      <w:lvlJc w:val="left"/>
      <w:pPr>
        <w:tabs>
          <w:tab w:val="left" w:pos="66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8CB8A">
      <w:start w:val="1"/>
      <w:numFmt w:val="bullet"/>
      <w:lvlText w:val="•"/>
      <w:lvlJc w:val="left"/>
      <w:pPr>
        <w:tabs>
          <w:tab w:val="left" w:pos="660"/>
        </w:tabs>
        <w:ind w:left="2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CFA66">
      <w:start w:val="1"/>
      <w:numFmt w:val="bullet"/>
      <w:lvlText w:val="•"/>
      <w:lvlJc w:val="left"/>
      <w:pPr>
        <w:tabs>
          <w:tab w:val="left" w:pos="660"/>
        </w:tabs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6299E0">
      <w:start w:val="1"/>
      <w:numFmt w:val="bullet"/>
      <w:lvlText w:val="•"/>
      <w:lvlJc w:val="left"/>
      <w:pPr>
        <w:tabs>
          <w:tab w:val="left" w:pos="660"/>
        </w:tabs>
        <w:ind w:left="4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224D6">
      <w:start w:val="1"/>
      <w:numFmt w:val="bullet"/>
      <w:lvlText w:val="•"/>
      <w:lvlJc w:val="left"/>
      <w:pPr>
        <w:tabs>
          <w:tab w:val="left" w:pos="660"/>
        </w:tabs>
        <w:ind w:left="4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924ECA">
      <w:start w:val="1"/>
      <w:numFmt w:val="bullet"/>
      <w:lvlText w:val="•"/>
      <w:lvlJc w:val="left"/>
      <w:pPr>
        <w:tabs>
          <w:tab w:val="left" w:pos="660"/>
        </w:tabs>
        <w:ind w:left="5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2A13A">
      <w:start w:val="1"/>
      <w:numFmt w:val="bullet"/>
      <w:lvlText w:val="•"/>
      <w:lvlJc w:val="left"/>
      <w:pPr>
        <w:tabs>
          <w:tab w:val="left" w:pos="660"/>
        </w:tabs>
        <w:ind w:left="6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3B5C32"/>
    <w:multiLevelType w:val="hybridMultilevel"/>
    <w:tmpl w:val="8A26700C"/>
    <w:lvl w:ilvl="0" w:tplc="221C072C">
      <w:numFmt w:val="bullet"/>
      <w:lvlText w:val="•"/>
      <w:lvlJc w:val="left"/>
      <w:pPr>
        <w:ind w:left="461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7" w15:restartNumberingAfterBreak="0">
    <w:nsid w:val="79161D5E"/>
    <w:multiLevelType w:val="hybridMultilevel"/>
    <w:tmpl w:val="C2E0B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4335">
    <w:abstractNumId w:val="15"/>
  </w:num>
  <w:num w:numId="2" w16cid:durableId="60061092">
    <w:abstractNumId w:val="4"/>
  </w:num>
  <w:num w:numId="3" w16cid:durableId="683895654">
    <w:abstractNumId w:val="11"/>
  </w:num>
  <w:num w:numId="4" w16cid:durableId="1107506926">
    <w:abstractNumId w:val="11"/>
    <w:lvlOverride w:ilvl="0">
      <w:lvl w:ilvl="0" w:tplc="351A9656">
        <w:start w:val="1"/>
        <w:numFmt w:val="bullet"/>
        <w:lvlText w:val="•"/>
        <w:lvlJc w:val="left"/>
        <w:pPr>
          <w:tabs>
            <w:tab w:val="left" w:pos="520"/>
          </w:tabs>
          <w:ind w:left="2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6C4538">
        <w:start w:val="1"/>
        <w:numFmt w:val="bullet"/>
        <w:lvlText w:val="•"/>
        <w:lvlJc w:val="left"/>
        <w:pPr>
          <w:tabs>
            <w:tab w:val="left" w:pos="520"/>
          </w:tabs>
          <w:ind w:left="8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42526">
        <w:start w:val="1"/>
        <w:numFmt w:val="bullet"/>
        <w:lvlText w:val="•"/>
        <w:lvlJc w:val="left"/>
        <w:pPr>
          <w:tabs>
            <w:tab w:val="left" w:pos="520"/>
          </w:tabs>
          <w:ind w:left="14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9C7CDC">
        <w:start w:val="1"/>
        <w:numFmt w:val="bullet"/>
        <w:lvlText w:val="•"/>
        <w:lvlJc w:val="left"/>
        <w:pPr>
          <w:tabs>
            <w:tab w:val="left" w:pos="520"/>
          </w:tabs>
          <w:ind w:left="20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34F414">
        <w:start w:val="1"/>
        <w:numFmt w:val="bullet"/>
        <w:lvlText w:val="•"/>
        <w:lvlJc w:val="left"/>
        <w:pPr>
          <w:tabs>
            <w:tab w:val="left" w:pos="520"/>
          </w:tabs>
          <w:ind w:left="26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1CABEA">
        <w:start w:val="1"/>
        <w:numFmt w:val="bullet"/>
        <w:lvlText w:val="•"/>
        <w:lvlJc w:val="left"/>
        <w:pPr>
          <w:tabs>
            <w:tab w:val="left" w:pos="520"/>
          </w:tabs>
          <w:ind w:left="32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5E32F8">
        <w:start w:val="1"/>
        <w:numFmt w:val="bullet"/>
        <w:lvlText w:val="•"/>
        <w:lvlJc w:val="left"/>
        <w:pPr>
          <w:tabs>
            <w:tab w:val="left" w:pos="520"/>
          </w:tabs>
          <w:ind w:left="38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1CF16A">
        <w:start w:val="1"/>
        <w:numFmt w:val="bullet"/>
        <w:lvlText w:val="•"/>
        <w:lvlJc w:val="left"/>
        <w:pPr>
          <w:tabs>
            <w:tab w:val="left" w:pos="520"/>
          </w:tabs>
          <w:ind w:left="44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2A554C">
        <w:start w:val="1"/>
        <w:numFmt w:val="bullet"/>
        <w:lvlText w:val="•"/>
        <w:lvlJc w:val="left"/>
        <w:pPr>
          <w:tabs>
            <w:tab w:val="left" w:pos="520"/>
          </w:tabs>
          <w:ind w:left="50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23690821">
    <w:abstractNumId w:val="8"/>
  </w:num>
  <w:num w:numId="6" w16cid:durableId="1809476151">
    <w:abstractNumId w:val="5"/>
  </w:num>
  <w:num w:numId="7" w16cid:durableId="288358529">
    <w:abstractNumId w:val="10"/>
  </w:num>
  <w:num w:numId="8" w16cid:durableId="1693529943">
    <w:abstractNumId w:val="16"/>
  </w:num>
  <w:num w:numId="9" w16cid:durableId="610935163">
    <w:abstractNumId w:val="13"/>
  </w:num>
  <w:num w:numId="10" w16cid:durableId="1676416350">
    <w:abstractNumId w:val="14"/>
  </w:num>
  <w:num w:numId="11" w16cid:durableId="1811508700">
    <w:abstractNumId w:val="6"/>
  </w:num>
  <w:num w:numId="12" w16cid:durableId="1229880504">
    <w:abstractNumId w:val="7"/>
  </w:num>
  <w:num w:numId="13" w16cid:durableId="1868788893">
    <w:abstractNumId w:val="17"/>
  </w:num>
  <w:num w:numId="14" w16cid:durableId="1624386425">
    <w:abstractNumId w:val="9"/>
  </w:num>
  <w:num w:numId="15" w16cid:durableId="1223369578">
    <w:abstractNumId w:val="1"/>
  </w:num>
  <w:num w:numId="16" w16cid:durableId="206844053">
    <w:abstractNumId w:val="3"/>
  </w:num>
  <w:num w:numId="17" w16cid:durableId="624237217">
    <w:abstractNumId w:val="0"/>
  </w:num>
  <w:num w:numId="18" w16cid:durableId="1263756199">
    <w:abstractNumId w:val="2"/>
  </w:num>
  <w:num w:numId="19" w16cid:durableId="16023739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A"/>
    <w:rsid w:val="00005007"/>
    <w:rsid w:val="00027D20"/>
    <w:rsid w:val="00031246"/>
    <w:rsid w:val="0004045C"/>
    <w:rsid w:val="0006608B"/>
    <w:rsid w:val="00074D5E"/>
    <w:rsid w:val="000863EA"/>
    <w:rsid w:val="000A0F9C"/>
    <w:rsid w:val="000D22DF"/>
    <w:rsid w:val="000D55C4"/>
    <w:rsid w:val="000E207E"/>
    <w:rsid w:val="00106F08"/>
    <w:rsid w:val="001221A4"/>
    <w:rsid w:val="001327F8"/>
    <w:rsid w:val="00145DD7"/>
    <w:rsid w:val="00146BB0"/>
    <w:rsid w:val="001540AD"/>
    <w:rsid w:val="001871C2"/>
    <w:rsid w:val="00196FB2"/>
    <w:rsid w:val="00197BBB"/>
    <w:rsid w:val="001E0FB4"/>
    <w:rsid w:val="002004DE"/>
    <w:rsid w:val="0022294B"/>
    <w:rsid w:val="00232A85"/>
    <w:rsid w:val="00246557"/>
    <w:rsid w:val="002739CD"/>
    <w:rsid w:val="002D681C"/>
    <w:rsid w:val="002E3104"/>
    <w:rsid w:val="00314679"/>
    <w:rsid w:val="0032581B"/>
    <w:rsid w:val="00355057"/>
    <w:rsid w:val="00362774"/>
    <w:rsid w:val="00382D5A"/>
    <w:rsid w:val="003B1476"/>
    <w:rsid w:val="003C28EF"/>
    <w:rsid w:val="003D4B50"/>
    <w:rsid w:val="003D5A3E"/>
    <w:rsid w:val="003E705B"/>
    <w:rsid w:val="004159FF"/>
    <w:rsid w:val="00432D2C"/>
    <w:rsid w:val="00440540"/>
    <w:rsid w:val="00471A35"/>
    <w:rsid w:val="004C3C32"/>
    <w:rsid w:val="00503216"/>
    <w:rsid w:val="00506F3C"/>
    <w:rsid w:val="005529F2"/>
    <w:rsid w:val="005974CC"/>
    <w:rsid w:val="005A48C1"/>
    <w:rsid w:val="005C643C"/>
    <w:rsid w:val="005F0E8E"/>
    <w:rsid w:val="005F44E6"/>
    <w:rsid w:val="005F45EA"/>
    <w:rsid w:val="00724B71"/>
    <w:rsid w:val="00736D19"/>
    <w:rsid w:val="0073758C"/>
    <w:rsid w:val="00780259"/>
    <w:rsid w:val="00786BC1"/>
    <w:rsid w:val="00791EE0"/>
    <w:rsid w:val="007F1304"/>
    <w:rsid w:val="007F610C"/>
    <w:rsid w:val="00804611"/>
    <w:rsid w:val="00807F1C"/>
    <w:rsid w:val="00817D51"/>
    <w:rsid w:val="008425C1"/>
    <w:rsid w:val="00854AA5"/>
    <w:rsid w:val="008974B7"/>
    <w:rsid w:val="009059CE"/>
    <w:rsid w:val="00905EDF"/>
    <w:rsid w:val="009068E0"/>
    <w:rsid w:val="00917BA8"/>
    <w:rsid w:val="00933923"/>
    <w:rsid w:val="00942A86"/>
    <w:rsid w:val="009542EC"/>
    <w:rsid w:val="009869AF"/>
    <w:rsid w:val="009B2ED7"/>
    <w:rsid w:val="009E37B9"/>
    <w:rsid w:val="00A2648B"/>
    <w:rsid w:val="00A36D09"/>
    <w:rsid w:val="00A64ADB"/>
    <w:rsid w:val="00A65E95"/>
    <w:rsid w:val="00A92EA0"/>
    <w:rsid w:val="00AF7B58"/>
    <w:rsid w:val="00B01222"/>
    <w:rsid w:val="00B234FE"/>
    <w:rsid w:val="00B50D8D"/>
    <w:rsid w:val="00BF0C9E"/>
    <w:rsid w:val="00C079B0"/>
    <w:rsid w:val="00C87831"/>
    <w:rsid w:val="00C91F0D"/>
    <w:rsid w:val="00C94A83"/>
    <w:rsid w:val="00CB4856"/>
    <w:rsid w:val="00CE112E"/>
    <w:rsid w:val="00D4025E"/>
    <w:rsid w:val="00D42792"/>
    <w:rsid w:val="00D6165F"/>
    <w:rsid w:val="00DA3A7C"/>
    <w:rsid w:val="00E22D34"/>
    <w:rsid w:val="00E533E5"/>
    <w:rsid w:val="00E54A08"/>
    <w:rsid w:val="00E96BD5"/>
    <w:rsid w:val="00EB57C9"/>
    <w:rsid w:val="00EB6F36"/>
    <w:rsid w:val="00EE39E3"/>
    <w:rsid w:val="00F05997"/>
    <w:rsid w:val="00F25C9A"/>
    <w:rsid w:val="00F53255"/>
    <w:rsid w:val="00F54236"/>
    <w:rsid w:val="00FA382A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8C71"/>
  <w15:docId w15:val="{6E9EF72E-022B-4665-8A57-CB7FD82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9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8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EE0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FE57A631A645BF86D9833EEFBEC9" ma:contentTypeVersion="14" ma:contentTypeDescription="Create a new document." ma:contentTypeScope="" ma:versionID="d102ef3171703acfe307d8c5677967e8">
  <xsd:schema xmlns:xsd="http://www.w3.org/2001/XMLSchema" xmlns:xs="http://www.w3.org/2001/XMLSchema" xmlns:p="http://schemas.microsoft.com/office/2006/metadata/properties" xmlns:ns2="cd575856-b50a-4cf0-b7b3-1b0aa5380e09" xmlns:ns3="5bfcb66e-06b5-47a6-abdb-f7ff3134e4af" targetNamespace="http://schemas.microsoft.com/office/2006/metadata/properties" ma:root="true" ma:fieldsID="481d36d183d4b09ab95502638f18503c" ns2:_="" ns3:_="">
    <xsd:import namespace="cd575856-b50a-4cf0-b7b3-1b0aa5380e09"/>
    <xsd:import namespace="5bfcb66e-06b5-47a6-abdb-f7ff3134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5856-b50a-4cf0-b7b3-1b0aa5380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6b5c7b-9aec-4292-a84e-24aa5b0a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b66e-06b5-47a6-abdb-f7ff3134e4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74cc48-ca5c-477f-963b-f21c2bc1747d}" ma:internalName="TaxCatchAll" ma:showField="CatchAllData" ma:web="5bfcb66e-06b5-47a6-abdb-f7ff3134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75856-b50a-4cf0-b7b3-1b0aa5380e09">
      <Terms xmlns="http://schemas.microsoft.com/office/infopath/2007/PartnerControls"/>
    </lcf76f155ced4ddcb4097134ff3c332f>
    <TaxCatchAll xmlns="5bfcb66e-06b5-47a6-abdb-f7ff3134e4af" xsi:nil="true"/>
  </documentManagement>
</p:properties>
</file>

<file path=customXml/itemProps1.xml><?xml version="1.0" encoding="utf-8"?>
<ds:datastoreItem xmlns:ds="http://schemas.openxmlformats.org/officeDocument/2006/customXml" ds:itemID="{9B3F61A7-825E-448E-901A-64BFACC42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9AD2D-786A-4AF1-81A4-6B061C76E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75856-b50a-4cf0-b7b3-1b0aa5380e09"/>
    <ds:schemaRef ds:uri="5bfcb66e-06b5-47a6-abdb-f7ff3134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36A9D-3911-4AC1-99A4-7D53F743A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70A28-A7AF-4E6E-B32B-FBABFEF7F218}">
  <ds:schemaRefs>
    <ds:schemaRef ds:uri="http://schemas.microsoft.com/office/2006/metadata/properties"/>
    <ds:schemaRef ds:uri="http://schemas.microsoft.com/office/infopath/2007/PartnerControls"/>
    <ds:schemaRef ds:uri="cd575856-b50a-4cf0-b7b3-1b0aa5380e09"/>
    <ds:schemaRef ds:uri="5bfcb66e-06b5-47a6-abdb-f7ff3134e4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Sproule</dc:creator>
  <cp:lastModifiedBy>Damian Smith</cp:lastModifiedBy>
  <cp:revision>16</cp:revision>
  <cp:lastPrinted>2021-02-01T03:26:00Z</cp:lastPrinted>
  <dcterms:created xsi:type="dcterms:W3CDTF">2023-12-14T00:54:00Z</dcterms:created>
  <dcterms:modified xsi:type="dcterms:W3CDTF">2023-12-21T23:25:00Z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0x0101005DF4FE57A631A645BF86D9833EEFBEC9</vt:lpwstr>
  </property>
  <property fmtid="{D5CDD505-2E9C-101B-9397-08002B2CF9AE}" pid="3" name="Order">
    <vt:r8>2639200</vt:r8>
  </property>
  <property fmtid="{D5CDD505-2E9C-101B-9397-08002B2CF9AE}" pid="4" name="MediaServiceImageTags">
    <vt:lpwstr/>
  </property>
</Properties>
</file>